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4F" w:rsidRPr="00134C4F" w:rsidRDefault="00134C4F" w:rsidP="00134C4F">
      <w:pPr>
        <w:spacing w:before="100" w:beforeAutospacing="1" w:after="100" w:afterAutospacing="1" w:line="240" w:lineRule="auto"/>
        <w:outlineLvl w:val="0"/>
        <w:rPr>
          <w:rFonts w:ascii="Dosis" w:eastAsia="Times New Roman" w:hAnsi="Dosis" w:cs="Arial"/>
          <w:b/>
          <w:bCs/>
          <w:color w:val="313336"/>
          <w:kern w:val="36"/>
          <w:sz w:val="46"/>
          <w:szCs w:val="46"/>
          <w:lang w:eastAsia="fr-FR"/>
        </w:rPr>
      </w:pPr>
      <w:r w:rsidRPr="00134C4F">
        <w:rPr>
          <w:rFonts w:ascii="Dosis" w:eastAsia="Times New Roman" w:hAnsi="Dosis" w:cs="Arial"/>
          <w:b/>
          <w:bCs/>
          <w:color w:val="313336"/>
          <w:kern w:val="36"/>
          <w:sz w:val="46"/>
          <w:szCs w:val="46"/>
          <w:lang w:eastAsia="fr-FR"/>
        </w:rPr>
        <w:t>Prière à l’occasion de la fête de l’Ascension</w:t>
      </w:r>
    </w:p>
    <w:p w:rsidR="00134C4F" w:rsidRPr="00134C4F" w:rsidRDefault="00134C4F" w:rsidP="00134C4F">
      <w:pPr>
        <w:spacing w:after="0" w:line="312" w:lineRule="atLeast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134C4F">
        <w:rPr>
          <w:rFonts w:ascii="Times New Roman" w:eastAsia="Times New Roman" w:hAnsi="Times New Roman" w:cs="Arial"/>
          <w:color w:val="313336"/>
          <w:sz w:val="46"/>
          <w:szCs w:val="46"/>
          <w:lang w:eastAsia="fr-FR"/>
        </w:rPr>
        <w:pict/>
      </w:r>
      <w:r w:rsidRPr="00134C4F">
        <w:rPr>
          <w:rFonts w:ascii="Times New Roman" w:eastAsia="Times New Roman" w:hAnsi="Times New Roman" w:cs="Arial"/>
          <w:color w:val="313336"/>
          <w:sz w:val="46"/>
          <w:szCs w:val="46"/>
          <w:lang w:eastAsia="fr-FR"/>
        </w:rPr>
        <w:pict/>
      </w:r>
      <w:r w:rsidRPr="00134C4F">
        <w:rPr>
          <w:rFonts w:ascii="Arial" w:eastAsia="Times New Roman" w:hAnsi="Arial" w:cs="Arial"/>
          <w:noProof/>
          <w:color w:val="313336"/>
          <w:sz w:val="23"/>
          <w:szCs w:val="23"/>
          <w:lang w:eastAsia="fr-FR"/>
        </w:rPr>
        <w:drawing>
          <wp:inline distT="0" distB="0" distL="0" distR="0" wp14:anchorId="21816000" wp14:editId="7B4CA5D4">
            <wp:extent cx="3305175" cy="3781425"/>
            <wp:effectExtent l="0" t="0" r="9525" b="9525"/>
            <wp:docPr id="1" name="Image 1" descr="ascension dans les trés riches heures du duc de 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ension dans les trés riches heures du duc de Ber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4F" w:rsidRPr="00134C4F" w:rsidRDefault="00134C4F" w:rsidP="00134C4F">
      <w:pPr>
        <w:spacing w:after="0" w:line="312" w:lineRule="atLeast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bookmarkStart w:id="0" w:name="_GoBack"/>
      <w:bookmarkEnd w:id="0"/>
      <w:r w:rsidRPr="00134C4F">
        <w:rPr>
          <w:rFonts w:ascii="Times" w:eastAsia="Times New Roman" w:hAnsi="Times" w:cs="Times"/>
          <w:b/>
          <w:bCs/>
          <w:i/>
          <w:iCs/>
          <w:color w:val="313336"/>
          <w:sz w:val="24"/>
          <w:szCs w:val="24"/>
          <w:shd w:val="clear" w:color="auto" w:fill="FFFFFF"/>
          <w:lang w:eastAsia="fr-FR"/>
        </w:rPr>
        <w:t>i</w:t>
      </w:r>
    </w:p>
    <w:p w:rsidR="00134C4F" w:rsidRPr="00134C4F" w:rsidRDefault="00134C4F" w:rsidP="00134C4F">
      <w:pPr>
        <w:spacing w:after="0" w:line="312" w:lineRule="atLeast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Notre fête de ce jour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monte vers Toi, Dieu notre Père.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Tous nos silences</w:t>
      </w:r>
      <w:proofErr w:type="gramStart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,</w:t>
      </w:r>
      <w:proofErr w:type="gramEnd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nos chants et nos paroles,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sont tendus vers Toi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et participent à la louange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de toute la création.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Tu as rappelé à Toi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Ton Fils Jésus-Christ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par qui nous fut donné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Ton Salut.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Il retourne aujourd’hui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partager ta gloire.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Dans ce mouvement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Qui l’entraîne avec Lui</w:t>
      </w:r>
      <w:proofErr w:type="gramStart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,</w:t>
      </w:r>
      <w:proofErr w:type="gramEnd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pour que soit donné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Ton souffle à notre humanité.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Ainsi nous pénétrons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 xml:space="preserve">dans le </w:t>
      </w:r>
      <w:hyperlink r:id="rId6" w:tooltip="Vérité de foi inaccessible à la seule raison humaine." w:history="1">
        <w:r w:rsidRPr="00134C4F">
          <w:rPr>
            <w:rFonts w:ascii="Arial" w:eastAsia="Times New Roman" w:hAnsi="Arial" w:cs="Arial"/>
            <w:color w:val="3970BC"/>
            <w:sz w:val="23"/>
            <w:szCs w:val="23"/>
            <w:lang w:eastAsia="fr-FR"/>
          </w:rPr>
          <w:t>mystère</w:t>
        </w:r>
      </w:hyperlink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de ton Fils.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Nos yeux ne peuvent plus voir</w:t>
      </w:r>
      <w:proofErr w:type="gramStart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,</w:t>
      </w:r>
      <w:proofErr w:type="gramEnd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mais nous savons que son retour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est déjà commencé ;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lastRenderedPageBreak/>
        <w:t>Sa disparition crée en nous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le vide de l’amour,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Mais nous savons que par notre amour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nous lui redonnons son visage.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Par cet amour nous demeurons en Lui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et par lui nous demeurons en toi.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Il nous rassemble en ce jour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Et c’est par son Esprit</w:t>
      </w: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notre communion acclame Ta gloire.</w:t>
      </w:r>
    </w:p>
    <w:p w:rsidR="00134C4F" w:rsidRPr="00134C4F" w:rsidRDefault="00134C4F" w:rsidP="00134C4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Prière extraite du livre « Reste avec nous » de François </w:t>
      </w:r>
      <w:proofErr w:type="spellStart"/>
      <w:r w:rsidRPr="00134C4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Chagneau</w:t>
      </w:r>
      <w:proofErr w:type="spellEnd"/>
    </w:p>
    <w:p w:rsidR="00F36D4B" w:rsidRDefault="00F36D4B"/>
    <w:sectPr w:rsidR="00F3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F"/>
    <w:rsid w:val="00134C4F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8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310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ECEC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lise.catholique.fr/glossaire/myste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HINARD</dc:creator>
  <cp:lastModifiedBy>Sophie HINARD</cp:lastModifiedBy>
  <cp:revision>1</cp:revision>
  <dcterms:created xsi:type="dcterms:W3CDTF">2017-05-18T13:21:00Z</dcterms:created>
  <dcterms:modified xsi:type="dcterms:W3CDTF">2017-05-18T13:23:00Z</dcterms:modified>
</cp:coreProperties>
</file>